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1C0" w:rsidRPr="002B21C0" w:rsidRDefault="002B21C0" w:rsidP="00EC2478">
      <w:pPr>
        <w:autoSpaceDE w:val="0"/>
        <w:autoSpaceDN w:val="0"/>
        <w:adjustRightInd w:val="0"/>
        <w:rPr>
          <w:rFonts w:cs="ITCGaramondStd-Bk"/>
          <w:sz w:val="32"/>
          <w:szCs w:val="60"/>
        </w:rPr>
      </w:pPr>
      <w:r w:rsidRPr="002B21C0">
        <w:rPr>
          <w:rFonts w:cs="ITCGaramondStd-Bk"/>
          <w:sz w:val="32"/>
          <w:szCs w:val="60"/>
        </w:rPr>
        <w:t>Chapter 1</w:t>
      </w:r>
    </w:p>
    <w:p w:rsidR="002B21C0" w:rsidRPr="002B21C0" w:rsidRDefault="002B21C0" w:rsidP="00EC2478">
      <w:pPr>
        <w:autoSpaceDE w:val="0"/>
        <w:autoSpaceDN w:val="0"/>
        <w:adjustRightInd w:val="0"/>
        <w:rPr>
          <w:rFonts w:cs="ITCGaramondStd-Bk"/>
          <w:sz w:val="32"/>
          <w:szCs w:val="60"/>
        </w:rPr>
      </w:pPr>
      <w:r w:rsidRPr="002B21C0">
        <w:rPr>
          <w:rFonts w:cs="ITCGaramondStd-Bk"/>
          <w:sz w:val="32"/>
          <w:szCs w:val="60"/>
        </w:rPr>
        <w:t>Globalization and the</w:t>
      </w:r>
      <w:r w:rsidRPr="002B21C0">
        <w:rPr>
          <w:rFonts w:cs="ITCGaramondStd-Bk"/>
          <w:sz w:val="32"/>
          <w:szCs w:val="60"/>
        </w:rPr>
        <w:t xml:space="preserve"> </w:t>
      </w:r>
      <w:r w:rsidRPr="002B21C0">
        <w:rPr>
          <w:rFonts w:cs="ITCGaramondStd-Bk"/>
          <w:sz w:val="32"/>
          <w:szCs w:val="60"/>
        </w:rPr>
        <w:t>Multinational Firm</w:t>
      </w:r>
    </w:p>
    <w:p w:rsidR="002B21C0" w:rsidRPr="00125DDF" w:rsidRDefault="002B21C0" w:rsidP="00EC2478">
      <w:pPr>
        <w:autoSpaceDE w:val="0"/>
        <w:autoSpaceDN w:val="0"/>
        <w:adjustRightInd w:val="0"/>
        <w:rPr>
          <w:rFonts w:cs="ITCGaramondStd-BdCond"/>
          <w:sz w:val="32"/>
          <w:szCs w:val="20"/>
        </w:rPr>
      </w:pPr>
    </w:p>
    <w:p w:rsidR="002B21C0" w:rsidRPr="002B21C0" w:rsidRDefault="002B21C0" w:rsidP="00EC2478">
      <w:pPr>
        <w:autoSpaceDE w:val="0"/>
        <w:autoSpaceDN w:val="0"/>
        <w:adjustRightInd w:val="0"/>
        <w:rPr>
          <w:rFonts w:cs="ITCGaramondStd-BdCond"/>
          <w:szCs w:val="20"/>
        </w:rPr>
      </w:pPr>
      <w:r w:rsidRPr="002B21C0">
        <w:rPr>
          <w:rFonts w:cs="ITCGaramondStd-BdCond"/>
          <w:szCs w:val="20"/>
        </w:rPr>
        <w:t>What’s Special about International Finance?</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Foreign Exchange and Political Risks</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Market Imperfections</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Expanded Opportunity Set</w:t>
      </w:r>
    </w:p>
    <w:p w:rsidR="002B21C0" w:rsidRPr="002B21C0" w:rsidRDefault="002B21C0" w:rsidP="00EC2478">
      <w:pPr>
        <w:autoSpaceDE w:val="0"/>
        <w:autoSpaceDN w:val="0"/>
        <w:adjustRightInd w:val="0"/>
        <w:rPr>
          <w:rFonts w:cs="ITCGaramondStd-BdCond"/>
          <w:szCs w:val="20"/>
        </w:rPr>
      </w:pPr>
      <w:r w:rsidRPr="002B21C0">
        <w:rPr>
          <w:rFonts w:cs="ITCGaramondStd-BdCond"/>
          <w:szCs w:val="20"/>
        </w:rPr>
        <w:t>Goals for International Financial Management</w:t>
      </w:r>
    </w:p>
    <w:p w:rsidR="002B21C0" w:rsidRPr="002B21C0" w:rsidRDefault="002B21C0" w:rsidP="00EC2478">
      <w:pPr>
        <w:autoSpaceDE w:val="0"/>
        <w:autoSpaceDN w:val="0"/>
        <w:adjustRightInd w:val="0"/>
        <w:rPr>
          <w:rFonts w:cs="ITCGaramondStd-BdCond"/>
          <w:szCs w:val="20"/>
        </w:rPr>
      </w:pPr>
      <w:r w:rsidRPr="002B21C0">
        <w:rPr>
          <w:rFonts w:cs="ITCGaramondStd-BdCond"/>
          <w:szCs w:val="20"/>
        </w:rPr>
        <w:t>Globalization of the World Economy: Major Trends</w:t>
      </w:r>
      <w:r w:rsidRPr="002B21C0">
        <w:rPr>
          <w:rFonts w:cs="ITCGaramondStd-BdCond"/>
          <w:szCs w:val="20"/>
        </w:rPr>
        <w:t xml:space="preserve"> </w:t>
      </w:r>
      <w:r w:rsidRPr="002B21C0">
        <w:rPr>
          <w:rFonts w:cs="ITCGaramondStd-BdCond"/>
          <w:szCs w:val="20"/>
        </w:rPr>
        <w:t>and Developments</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Emergence of Globalized Financial Markets</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Emergence of the Euro as a Global Currency</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Europe</w:t>
      </w:r>
      <w:r w:rsidRPr="002B21C0">
        <w:rPr>
          <w:rFonts w:cs="ITCGaramondStd-Bk"/>
          <w:szCs w:val="21"/>
        </w:rPr>
        <w:t>’</w:t>
      </w:r>
      <w:r w:rsidRPr="002B21C0">
        <w:rPr>
          <w:rFonts w:cs="ITCGaramondStd-Bk"/>
          <w:szCs w:val="20"/>
        </w:rPr>
        <w:t>s Sovereign Debt Crisis of 2010</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Trade Liberalization and Economic</w:t>
      </w:r>
      <w:r w:rsidRPr="002B21C0">
        <w:rPr>
          <w:rFonts w:cs="ITCGaramondStd-Bk"/>
          <w:szCs w:val="20"/>
        </w:rPr>
        <w:t xml:space="preserve"> </w:t>
      </w:r>
      <w:r w:rsidRPr="002B21C0">
        <w:rPr>
          <w:rFonts w:cs="ITCGaramondStd-Bk"/>
          <w:szCs w:val="20"/>
        </w:rPr>
        <w:t>Integration</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Privatization</w:t>
      </w:r>
    </w:p>
    <w:p w:rsidR="002B21C0" w:rsidRPr="002B21C0" w:rsidRDefault="002B21C0" w:rsidP="00EC2478">
      <w:pPr>
        <w:autoSpaceDE w:val="0"/>
        <w:autoSpaceDN w:val="0"/>
        <w:adjustRightInd w:val="0"/>
        <w:ind w:firstLine="720"/>
        <w:rPr>
          <w:rFonts w:cs="ITCGaramondStd-Bk"/>
          <w:szCs w:val="20"/>
        </w:rPr>
      </w:pPr>
      <w:r w:rsidRPr="002B21C0">
        <w:rPr>
          <w:rFonts w:cs="ITCGaramondStd-Bk"/>
          <w:szCs w:val="20"/>
        </w:rPr>
        <w:t>Global Financial Crisis of 2008–2009</w:t>
      </w:r>
    </w:p>
    <w:p w:rsidR="002B21C0" w:rsidRPr="002B21C0" w:rsidRDefault="002B21C0" w:rsidP="00EC2478">
      <w:pPr>
        <w:autoSpaceDE w:val="0"/>
        <w:autoSpaceDN w:val="0"/>
        <w:adjustRightInd w:val="0"/>
        <w:rPr>
          <w:rFonts w:cs="ITCGaramondStd-BdCond"/>
          <w:szCs w:val="20"/>
        </w:rPr>
      </w:pPr>
      <w:r w:rsidRPr="002B21C0">
        <w:rPr>
          <w:rFonts w:cs="ITCGaramondStd-BdCond"/>
          <w:szCs w:val="20"/>
        </w:rPr>
        <w:t>Multinational Corporations</w:t>
      </w:r>
    </w:p>
    <w:p w:rsidR="00E77345" w:rsidRPr="002B21C0" w:rsidRDefault="002B21C0" w:rsidP="00EC2478">
      <w:pPr>
        <w:autoSpaceDE w:val="0"/>
        <w:autoSpaceDN w:val="0"/>
        <w:adjustRightInd w:val="0"/>
        <w:rPr>
          <w:rFonts w:cs="ITCGaramondStd-Bk"/>
          <w:szCs w:val="20"/>
        </w:rPr>
      </w:pPr>
      <w:r w:rsidRPr="002B21C0">
        <w:rPr>
          <w:rFonts w:cs="ITCGaramondStd-BdCond"/>
          <w:szCs w:val="20"/>
        </w:rPr>
        <w:t>A</w:t>
      </w:r>
      <w:r w:rsidRPr="002B21C0">
        <w:rPr>
          <w:rFonts w:cs="ITCGaramondStd-BdCond"/>
          <w:sz w:val="16"/>
          <w:szCs w:val="15"/>
        </w:rPr>
        <w:t xml:space="preserve">PPENDIX </w:t>
      </w:r>
      <w:r w:rsidRPr="002B21C0">
        <w:rPr>
          <w:rFonts w:cs="ITCGaramondStd-BdCond"/>
          <w:szCs w:val="20"/>
        </w:rPr>
        <w:t xml:space="preserve">1A: </w:t>
      </w:r>
      <w:r w:rsidRPr="002B21C0">
        <w:rPr>
          <w:rFonts w:cs="ITCGaramondStd-Bk"/>
          <w:szCs w:val="20"/>
        </w:rPr>
        <w:t>Gain from Trade: The Theory of</w:t>
      </w:r>
      <w:r w:rsidRPr="002B21C0">
        <w:rPr>
          <w:rFonts w:cs="ITCGaramondStd-Bk"/>
          <w:szCs w:val="20"/>
        </w:rPr>
        <w:t xml:space="preserve"> </w:t>
      </w:r>
      <w:r w:rsidRPr="002B21C0">
        <w:rPr>
          <w:rFonts w:cs="ITCGaramondStd-Bk"/>
          <w:szCs w:val="20"/>
        </w:rPr>
        <w:t>Comparative Advantage</w:t>
      </w:r>
    </w:p>
    <w:p w:rsidR="002B21C0" w:rsidRPr="002B21C0" w:rsidRDefault="002B21C0" w:rsidP="00EC2478">
      <w:pPr>
        <w:autoSpaceDE w:val="0"/>
        <w:autoSpaceDN w:val="0"/>
        <w:adjustRightInd w:val="0"/>
        <w:rPr>
          <w:rFonts w:cs="ITCGaramondStd-Bk"/>
          <w:sz w:val="20"/>
          <w:szCs w:val="20"/>
        </w:rPr>
      </w:pPr>
    </w:p>
    <w:p w:rsidR="00EC2478" w:rsidRDefault="00EC2478" w:rsidP="00EC2478">
      <w:pPr>
        <w:autoSpaceDE w:val="0"/>
        <w:autoSpaceDN w:val="0"/>
        <w:adjustRightInd w:val="0"/>
        <w:rPr>
          <w:b/>
        </w:rPr>
      </w:pPr>
    </w:p>
    <w:p w:rsidR="002B21C0" w:rsidRPr="00EC2478" w:rsidRDefault="002B21C0" w:rsidP="00EC2478">
      <w:pPr>
        <w:autoSpaceDE w:val="0"/>
        <w:autoSpaceDN w:val="0"/>
        <w:adjustRightInd w:val="0"/>
        <w:rPr>
          <w:b/>
          <w:sz w:val="24"/>
        </w:rPr>
      </w:pPr>
      <w:r w:rsidRPr="00EC2478">
        <w:rPr>
          <w:b/>
          <w:sz w:val="24"/>
        </w:rPr>
        <w:t>Summary</w:t>
      </w:r>
    </w:p>
    <w:p w:rsidR="002B21C0" w:rsidRDefault="002B21C0" w:rsidP="00EC2478">
      <w:pPr>
        <w:autoSpaceDE w:val="0"/>
        <w:autoSpaceDN w:val="0"/>
        <w:adjustRightInd w:val="0"/>
      </w:pPr>
      <w:r w:rsidRPr="002B21C0">
        <w:t>This chapter provid</w:t>
      </w:r>
      <w:bookmarkStart w:id="0" w:name="_GoBack"/>
      <w:bookmarkEnd w:id="0"/>
      <w:r w:rsidRPr="002B21C0">
        <w:t xml:space="preserve">ed an introduction to International Financial Management.   </w:t>
      </w:r>
    </w:p>
    <w:p w:rsidR="00EC2478" w:rsidRPr="002B21C0" w:rsidRDefault="00EC2478" w:rsidP="00EC2478">
      <w:pPr>
        <w:autoSpaceDE w:val="0"/>
        <w:autoSpaceDN w:val="0"/>
        <w:adjustRightInd w:val="0"/>
      </w:pPr>
    </w:p>
    <w:p w:rsidR="002B21C0" w:rsidRPr="002B21C0" w:rsidRDefault="002B21C0" w:rsidP="00EC2478">
      <w:pPr>
        <w:autoSpaceDE w:val="0"/>
        <w:autoSpaceDN w:val="0"/>
        <w:adjustRightInd w:val="0"/>
      </w:pPr>
      <w:r w:rsidRPr="002B21C0">
        <w:t xml:space="preserve">1.    It is essential to study “international” financial management because we are now living in a highly globalized and integrated world economy. Owing to the (a) continuous liberalization of international trade and investment, and (b) rapid advances in telecommunications and transportation technologies, the world economy will become even more integrated.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 xml:space="preserve">2.    Three major dimensions distinguish international finance from domestic finance. They are (a) foreign exchange and political risks, (b) market imperfections, and (c) an expanded opportunity set.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 xml:space="preserve">3.    Financial managers of MNCs should learn how to manage foreign exchange and political risks using proper tools and instruments, deal with (and take advantage of) market imperfections, and benefit from the expanded investment and financing opportunities. By doing so, financial managers can contribute to share-holder wealth maximization, which is the ultimate goal of international financial management.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 xml:space="preserve">4.    The theory of comparative advantage states that economic well-being is enhanced if countries produce those goods for which they have comparative advantages and then trade those goods. The theory of comparative advantage provides a powerful rationale for free trade. Currently, international trade is becoming liberalized at both the global and the regional levels. At the global level, WTO plays a key role in promoting free trade. At the regional level, the European Union and NAFTA play a vital role in dismantling trade barriers within regions.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5.    The subprime mortgage crisis in the United States that began in the summer of 2007 led to a severe credit crunch. The credit crunch, in turn, escalated to a major global financial crisis in 2008–2009. The global financial crisis may be attributable to several factors, including (</w:t>
      </w:r>
      <w:proofErr w:type="spellStart"/>
      <w:r w:rsidRPr="002B21C0">
        <w:t>i</w:t>
      </w:r>
      <w:proofErr w:type="spellEnd"/>
      <w:r w:rsidRPr="002B21C0">
        <w:t xml:space="preserve">) excessive borrowing and risk taking by both households and banks, (ii) failure of government regulators to detect the rising risk in the </w:t>
      </w:r>
      <w:r w:rsidRPr="002B21C0">
        <w:lastRenderedPageBreak/>
        <w:t xml:space="preserve">financial system and take timely preventive actions, and (iii) the inter-connected and integrated nature of financial markets. In addition, the world economy was buffeted by Europe’s sovereign-debt crisis. The crisis started in Greece in December 2009 when it was disclosed that the country’s budget deficit would be far worse than previously forecasted. The panic spread among weak European economies. The interest rates in these countries rose sharply and, at the same time, the euro depreciated sharply in currency markets, hurting its credibility as a major global currency.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 xml:space="preserve">6.    A major economic trend of the recent decades is the rapid pace with which former state-owned businesses are being privatized. With the fall of communism, many Eastern Bloc countries began stripping themselves of inefficient business operations formerly run by the state. Privatization has placed a new demand on international capital markets to finance the purchase of the former state enterprises, and it has also brought about a demand for new managers with international business skills.  </w:t>
      </w:r>
    </w:p>
    <w:p w:rsidR="002B21C0" w:rsidRDefault="002B21C0" w:rsidP="00EC2478">
      <w:pPr>
        <w:autoSpaceDE w:val="0"/>
        <w:autoSpaceDN w:val="0"/>
        <w:adjustRightInd w:val="0"/>
      </w:pPr>
    </w:p>
    <w:p w:rsidR="002B21C0" w:rsidRPr="002B21C0" w:rsidRDefault="002B21C0" w:rsidP="00EC2478">
      <w:pPr>
        <w:autoSpaceDE w:val="0"/>
        <w:autoSpaceDN w:val="0"/>
        <w:adjustRightInd w:val="0"/>
      </w:pPr>
      <w:r w:rsidRPr="002B21C0">
        <w:t xml:space="preserve">7.    In modern times, it is not a country per se but rather a controller of capital and know-how that gives the country in which it is domiciled a comparative advantage over another country. These controllers of capital and technology are multinational corporations (MNCs). Today, it is not uncommon for an MNC to produce merchandise in one country, on capital equipment financed by funds raised in a number of different currencies, through issuing securities to investors in many countries and then selling the finished product to customers all over the world.  </w:t>
      </w:r>
    </w:p>
    <w:sectPr w:rsidR="002B21C0" w:rsidRPr="002B21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TCGaramondStd-Bk">
    <w:panose1 w:val="00000000000000000000"/>
    <w:charset w:val="00"/>
    <w:family w:val="auto"/>
    <w:notTrueType/>
    <w:pitch w:val="default"/>
    <w:sig w:usb0="00000003" w:usb1="00000000" w:usb2="00000000" w:usb3="00000000" w:csb0="00000001" w:csb1="00000000"/>
  </w:font>
  <w:font w:name="ITCGaramondStd-BdCon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1C0"/>
    <w:rsid w:val="00125DDF"/>
    <w:rsid w:val="002B21C0"/>
    <w:rsid w:val="005C06D9"/>
    <w:rsid w:val="00717E11"/>
    <w:rsid w:val="00D0401B"/>
    <w:rsid w:val="00E77345"/>
    <w:rsid w:val="00E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The McGraw-Hill Companies</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Bathurst, Noelle</dc:creator>
  <cp:lastModifiedBy>Bathurst, Noelle</cp:lastModifiedBy>
  <cp:revision>2</cp:revision>
  <dcterms:created xsi:type="dcterms:W3CDTF">2014-08-18T15:46:00Z</dcterms:created>
  <dcterms:modified xsi:type="dcterms:W3CDTF">2014-08-18T16:43:00Z</dcterms:modified>
</cp:coreProperties>
</file>